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A502DC" w14:textId="4541FD2D" w:rsidR="000B57D6" w:rsidRPr="00E9528E" w:rsidRDefault="004B663E" w:rsidP="004B663E">
      <w:pPr>
        <w:spacing w:line="276" w:lineRule="auto"/>
        <w:jc w:val="center"/>
        <w:rPr>
          <w:rFonts w:ascii="TeleNeo Office" w:hAnsi="TeleNeo Office"/>
          <w:b/>
          <w:bCs/>
          <w:sz w:val="32"/>
          <w:szCs w:val="32"/>
        </w:rPr>
      </w:pPr>
      <w:r w:rsidRPr="00E9528E">
        <w:rPr>
          <w:rFonts w:ascii="TeleNeo Office" w:hAnsi="TeleNeo Office"/>
          <w:b/>
          <w:bCs/>
          <w:sz w:val="32"/>
          <w:szCs w:val="32"/>
        </w:rPr>
        <w:t xml:space="preserve">EUBB projekt </w:t>
      </w:r>
      <w:r w:rsidR="00E9528E" w:rsidRPr="00E9528E">
        <w:rPr>
          <w:rFonts w:ascii="TeleNeo Office" w:hAnsi="TeleNeo Office"/>
          <w:b/>
          <w:bCs/>
          <w:sz w:val="32"/>
          <w:szCs w:val="32"/>
        </w:rPr>
        <w:t>Poreč</w:t>
      </w:r>
    </w:p>
    <w:p w14:paraId="4EF31180" w14:textId="43431927" w:rsidR="004B663E" w:rsidRPr="00E9528E" w:rsidRDefault="004B663E" w:rsidP="004B663E">
      <w:pPr>
        <w:spacing w:line="276" w:lineRule="auto"/>
        <w:jc w:val="center"/>
        <w:rPr>
          <w:rFonts w:ascii="TeleNeo Office" w:hAnsi="TeleNeo Office"/>
          <w:b/>
          <w:bCs/>
          <w:sz w:val="28"/>
          <w:szCs w:val="28"/>
        </w:rPr>
      </w:pPr>
      <w:r w:rsidRPr="00E9528E">
        <w:rPr>
          <w:rFonts w:ascii="TeleNeo Office" w:hAnsi="TeleNeo Office"/>
          <w:b/>
          <w:bCs/>
          <w:sz w:val="28"/>
          <w:szCs w:val="28"/>
        </w:rPr>
        <w:t>Projektiranje i građenje pasivnog dijela FTTH mreža na području „bijelih“ adresa Grada</w:t>
      </w:r>
      <w:r w:rsidR="00E9528E" w:rsidRPr="00E9528E">
        <w:rPr>
          <w:rFonts w:ascii="TeleNeo Office" w:hAnsi="TeleNeo Office"/>
          <w:b/>
          <w:bCs/>
          <w:sz w:val="28"/>
          <w:szCs w:val="28"/>
        </w:rPr>
        <w:t xml:space="preserve"> Poreča</w:t>
      </w:r>
      <w:r w:rsidRPr="00E9528E">
        <w:rPr>
          <w:rFonts w:ascii="TeleNeo Office" w:hAnsi="TeleNeo Office"/>
          <w:b/>
          <w:bCs/>
          <w:sz w:val="28"/>
          <w:szCs w:val="28"/>
        </w:rPr>
        <w:t xml:space="preserve"> te Općina </w:t>
      </w:r>
      <w:r w:rsidR="00E9528E" w:rsidRPr="00E9528E">
        <w:rPr>
          <w:rFonts w:ascii="TeleNeo Office" w:hAnsi="TeleNeo Office"/>
          <w:b/>
          <w:bCs/>
          <w:sz w:val="28"/>
          <w:szCs w:val="28"/>
        </w:rPr>
        <w:t xml:space="preserve">Funtana, </w:t>
      </w:r>
      <w:proofErr w:type="spellStart"/>
      <w:r w:rsidR="00E9528E" w:rsidRPr="00E9528E">
        <w:rPr>
          <w:rFonts w:ascii="TeleNeo Office" w:hAnsi="TeleNeo Office"/>
          <w:b/>
          <w:bCs/>
          <w:sz w:val="28"/>
          <w:szCs w:val="28"/>
        </w:rPr>
        <w:t>Kaštelir</w:t>
      </w:r>
      <w:proofErr w:type="spellEnd"/>
      <w:r w:rsidR="00E9528E" w:rsidRPr="00E9528E">
        <w:rPr>
          <w:rFonts w:ascii="TeleNeo Office" w:hAnsi="TeleNeo Office"/>
          <w:b/>
          <w:bCs/>
          <w:sz w:val="28"/>
          <w:szCs w:val="28"/>
        </w:rPr>
        <w:t>-Labinci, Sveti Lovreč, Tar-Vabriga, Tinjan, Višnjan, Vižinada i Vrsar</w:t>
      </w:r>
      <w:r w:rsidRPr="00E9528E">
        <w:rPr>
          <w:rFonts w:ascii="TeleNeo Office" w:hAnsi="TeleNeo Office"/>
          <w:b/>
          <w:bCs/>
          <w:sz w:val="28"/>
          <w:szCs w:val="28"/>
        </w:rPr>
        <w:t xml:space="preserve"> </w:t>
      </w:r>
    </w:p>
    <w:p w14:paraId="5BEA0E0E" w14:textId="1511949E" w:rsidR="000B57D6" w:rsidRDefault="000B57D6" w:rsidP="002D3472">
      <w:pPr>
        <w:spacing w:line="276" w:lineRule="auto"/>
        <w:rPr>
          <w:rFonts w:ascii="TeleNeo Office" w:hAnsi="TeleNeo Office"/>
          <w:sz w:val="24"/>
          <w:szCs w:val="24"/>
        </w:rPr>
      </w:pPr>
    </w:p>
    <w:p w14:paraId="5E7F3236" w14:textId="681B31CF" w:rsidR="00AB21CE" w:rsidRDefault="006D37B1" w:rsidP="006D37B1">
      <w:pPr>
        <w:spacing w:line="276" w:lineRule="auto"/>
        <w:jc w:val="center"/>
        <w:rPr>
          <w:rFonts w:ascii="TeleNeo Office" w:hAnsi="TeleNeo Office"/>
          <w:b/>
          <w:bCs/>
          <w:sz w:val="24"/>
          <w:szCs w:val="24"/>
        </w:rPr>
      </w:pPr>
      <w:r>
        <w:rPr>
          <w:rFonts w:ascii="TeleNeo Office" w:hAnsi="TeleNeo Office"/>
          <w:b/>
          <w:bCs/>
          <w:sz w:val="24"/>
          <w:szCs w:val="24"/>
        </w:rPr>
        <w:t>O B A V I J E ST</w:t>
      </w:r>
    </w:p>
    <w:p w14:paraId="5354D196" w14:textId="54F861DE" w:rsidR="006D37B1" w:rsidRDefault="006D37B1" w:rsidP="002D3472">
      <w:pPr>
        <w:spacing w:line="276" w:lineRule="auto"/>
        <w:jc w:val="both"/>
        <w:rPr>
          <w:rFonts w:ascii="TeleNeo Office" w:hAnsi="TeleNeo Office"/>
          <w:sz w:val="24"/>
          <w:szCs w:val="24"/>
        </w:rPr>
      </w:pPr>
      <w:r>
        <w:rPr>
          <w:rFonts w:ascii="TeleNeo Office" w:hAnsi="TeleNeo Office"/>
          <w:sz w:val="24"/>
          <w:szCs w:val="24"/>
        </w:rPr>
        <w:t xml:space="preserve">Obavještavaju se građani da je na  području </w:t>
      </w:r>
      <w:r w:rsidRPr="00493B8C">
        <w:rPr>
          <w:rFonts w:ascii="TeleNeo Office" w:hAnsi="TeleNeo Office"/>
          <w:sz w:val="24"/>
          <w:szCs w:val="24"/>
          <w:u w:val="single"/>
        </w:rPr>
        <w:t xml:space="preserve">Općine </w:t>
      </w:r>
      <w:r w:rsidR="005133BC" w:rsidRPr="00493B8C">
        <w:rPr>
          <w:rFonts w:ascii="TeleNeo Office" w:hAnsi="TeleNeo Office"/>
          <w:sz w:val="24"/>
          <w:szCs w:val="24"/>
          <w:u w:val="single"/>
        </w:rPr>
        <w:t>Sveti Lovreč</w:t>
      </w:r>
      <w:r>
        <w:rPr>
          <w:rFonts w:ascii="TeleNeo Office" w:hAnsi="TeleNeo Office"/>
          <w:sz w:val="24"/>
          <w:szCs w:val="24"/>
        </w:rPr>
        <w:t xml:space="preserve"> </w:t>
      </w:r>
      <w:r w:rsidR="00A342C0">
        <w:rPr>
          <w:rFonts w:ascii="TeleNeo Office" w:hAnsi="TeleNeo Office"/>
          <w:sz w:val="24"/>
          <w:szCs w:val="24"/>
        </w:rPr>
        <w:t>u</w:t>
      </w:r>
      <w:r>
        <w:rPr>
          <w:rFonts w:ascii="TeleNeo Office" w:hAnsi="TeleNeo Office"/>
          <w:sz w:val="24"/>
          <w:szCs w:val="24"/>
        </w:rPr>
        <w:t xml:space="preserve"> tijeku izgradnja</w:t>
      </w:r>
      <w:r w:rsidRPr="006D37B1">
        <w:rPr>
          <w:rFonts w:ascii="TeleNeo Office" w:hAnsi="TeleNeo Office"/>
          <w:sz w:val="24"/>
          <w:szCs w:val="24"/>
        </w:rPr>
        <w:t xml:space="preserve"> </w:t>
      </w:r>
      <w:r w:rsidRPr="002D3472">
        <w:rPr>
          <w:rFonts w:ascii="TeleNeo Office" w:hAnsi="TeleNeo Office"/>
          <w:sz w:val="24"/>
          <w:szCs w:val="24"/>
        </w:rPr>
        <w:t>širokopojasne infrastrukture</w:t>
      </w:r>
      <w:r>
        <w:rPr>
          <w:rFonts w:ascii="TeleNeo Office" w:hAnsi="TeleNeo Office"/>
          <w:sz w:val="24"/>
          <w:szCs w:val="24"/>
        </w:rPr>
        <w:t xml:space="preserve"> </w:t>
      </w:r>
      <w:r w:rsidRPr="00E9528E">
        <w:rPr>
          <w:rFonts w:ascii="TeleNeo Office" w:hAnsi="TeleNeo Office"/>
          <w:sz w:val="24"/>
          <w:szCs w:val="24"/>
        </w:rPr>
        <w:t xml:space="preserve">koja će za sve potencijalne korisnike (stanove, poslovne i javne korisnike) na tzv. „bijelim“ adresama osigurati brzi i ultra-brzi širokopojasni pristup nove generacije (eng. </w:t>
      </w:r>
      <w:proofErr w:type="spellStart"/>
      <w:r w:rsidRPr="00E9528E">
        <w:rPr>
          <w:rFonts w:ascii="TeleNeo Office" w:hAnsi="TeleNeo Office"/>
          <w:sz w:val="24"/>
          <w:szCs w:val="24"/>
        </w:rPr>
        <w:t>Next</w:t>
      </w:r>
      <w:proofErr w:type="spellEnd"/>
      <w:r w:rsidRPr="00E9528E">
        <w:rPr>
          <w:rFonts w:ascii="TeleNeo Office" w:hAnsi="TeleNeo Office"/>
          <w:sz w:val="24"/>
          <w:szCs w:val="24"/>
        </w:rPr>
        <w:t xml:space="preserve"> </w:t>
      </w:r>
      <w:proofErr w:type="spellStart"/>
      <w:r w:rsidRPr="00E9528E">
        <w:rPr>
          <w:rFonts w:ascii="TeleNeo Office" w:hAnsi="TeleNeo Office"/>
          <w:sz w:val="24"/>
          <w:szCs w:val="24"/>
        </w:rPr>
        <w:t>Generation</w:t>
      </w:r>
      <w:proofErr w:type="spellEnd"/>
      <w:r w:rsidRPr="00E9528E">
        <w:rPr>
          <w:rFonts w:ascii="TeleNeo Office" w:hAnsi="TeleNeo Office"/>
          <w:sz w:val="24"/>
          <w:szCs w:val="24"/>
        </w:rPr>
        <w:t xml:space="preserve"> Access – NGA).</w:t>
      </w:r>
      <w:r>
        <w:rPr>
          <w:rFonts w:ascii="TeleNeo Office" w:hAnsi="TeleNeo Office"/>
          <w:sz w:val="24"/>
          <w:szCs w:val="24"/>
        </w:rPr>
        <w:t xml:space="preserve"> Nositelj projekta </w:t>
      </w:r>
      <w:r w:rsidRPr="002D3472">
        <w:rPr>
          <w:rFonts w:ascii="TeleNeo Office" w:hAnsi="TeleNeo Office"/>
          <w:sz w:val="24"/>
          <w:szCs w:val="24"/>
        </w:rPr>
        <w:t>Hrvatski Telekom d.d. (HT) sklopio je u rujnu 2020. Ugovor o dodjeli bespovratnih sredstava kojim se HT obvezao</w:t>
      </w:r>
      <w:r>
        <w:rPr>
          <w:rFonts w:ascii="TeleNeo Office" w:hAnsi="TeleNeo Office"/>
          <w:sz w:val="24"/>
          <w:szCs w:val="24"/>
        </w:rPr>
        <w:t xml:space="preserve"> </w:t>
      </w:r>
      <w:r w:rsidRPr="002D3472">
        <w:rPr>
          <w:rFonts w:ascii="TeleNeo Office" w:hAnsi="TeleNeo Office"/>
          <w:sz w:val="24"/>
          <w:szCs w:val="24"/>
        </w:rPr>
        <w:t>provesti projekt razvoja širokopojasne infrastrukture</w:t>
      </w:r>
      <w:r>
        <w:rPr>
          <w:rFonts w:ascii="TeleNeo Office" w:hAnsi="TeleNeo Office"/>
          <w:sz w:val="24"/>
          <w:szCs w:val="24"/>
        </w:rPr>
        <w:t xml:space="preserve"> </w:t>
      </w:r>
      <w:r w:rsidRPr="00E9528E">
        <w:rPr>
          <w:rFonts w:ascii="TeleNeo Office" w:hAnsi="TeleNeo Office"/>
          <w:sz w:val="24"/>
          <w:szCs w:val="24"/>
        </w:rPr>
        <w:t>za područje Grada Poreča i okolnih općina</w:t>
      </w:r>
      <w:r>
        <w:rPr>
          <w:rFonts w:ascii="TeleNeo Office" w:hAnsi="TeleNeo Office"/>
          <w:sz w:val="24"/>
          <w:szCs w:val="24"/>
        </w:rPr>
        <w:t xml:space="preserve">. </w:t>
      </w:r>
      <w:r w:rsidRPr="000D1896">
        <w:rPr>
          <w:rFonts w:ascii="TeleNeo Office" w:hAnsi="TeleNeo Office"/>
          <w:sz w:val="24"/>
          <w:szCs w:val="24"/>
        </w:rPr>
        <w:t xml:space="preserve">U samoj Općini </w:t>
      </w:r>
      <w:r w:rsidR="007C5D5E">
        <w:rPr>
          <w:rFonts w:ascii="TeleNeo Office" w:hAnsi="TeleNeo Office"/>
          <w:sz w:val="24"/>
          <w:szCs w:val="24"/>
        </w:rPr>
        <w:t>Sveti Lovreč</w:t>
      </w:r>
      <w:r w:rsidRPr="000D1896">
        <w:rPr>
          <w:rFonts w:ascii="TeleNeo Office" w:hAnsi="TeleNeo Office"/>
          <w:sz w:val="24"/>
          <w:szCs w:val="24"/>
        </w:rPr>
        <w:t xml:space="preserve"> omogućiti će se priključak za</w:t>
      </w:r>
      <w:r>
        <w:rPr>
          <w:rFonts w:ascii="TeleNeo Office" w:hAnsi="TeleNeo Office"/>
          <w:sz w:val="24"/>
          <w:szCs w:val="24"/>
        </w:rPr>
        <w:t xml:space="preserve"> </w:t>
      </w:r>
      <w:r w:rsidR="00A5322A">
        <w:rPr>
          <w:rFonts w:ascii="TeleNeo Office" w:hAnsi="TeleNeo Office"/>
          <w:sz w:val="24"/>
          <w:szCs w:val="24"/>
        </w:rPr>
        <w:t>488</w:t>
      </w:r>
      <w:r>
        <w:rPr>
          <w:rFonts w:ascii="TeleNeo Office" w:hAnsi="TeleNeo Office"/>
          <w:sz w:val="24"/>
          <w:szCs w:val="24"/>
        </w:rPr>
        <w:t xml:space="preserve"> </w:t>
      </w:r>
      <w:r w:rsidRPr="000D1896">
        <w:rPr>
          <w:rFonts w:ascii="TeleNeo Office" w:hAnsi="TeleNeo Office"/>
          <w:sz w:val="24"/>
          <w:szCs w:val="24"/>
        </w:rPr>
        <w:t>„bijelih“ adresa. Grafički</w:t>
      </w:r>
      <w:r>
        <w:rPr>
          <w:rFonts w:ascii="TeleNeo Office" w:hAnsi="TeleNeo Office"/>
          <w:sz w:val="24"/>
          <w:szCs w:val="24"/>
        </w:rPr>
        <w:t xml:space="preserve"> prikaz adresa koje su obuhvaćene ovim projektom dan je u nastavku.</w:t>
      </w:r>
    </w:p>
    <w:p w14:paraId="034C4F87" w14:textId="761C26C2" w:rsidR="00CB18CA" w:rsidRDefault="006A6CAB" w:rsidP="00B64F6F">
      <w:pPr>
        <w:spacing w:line="276" w:lineRule="auto"/>
        <w:jc w:val="center"/>
        <w:rPr>
          <w:rFonts w:ascii="TeleNeo Office" w:hAnsi="TeleNeo Office"/>
          <w:sz w:val="24"/>
          <w:szCs w:val="24"/>
        </w:rPr>
      </w:pPr>
      <w:r>
        <w:rPr>
          <w:noProof/>
        </w:rPr>
        <w:drawing>
          <wp:inline distT="0" distB="0" distL="0" distR="0" wp14:anchorId="3107DEBB" wp14:editId="3713FBCB">
            <wp:extent cx="5082540" cy="3811905"/>
            <wp:effectExtent l="0" t="0" r="381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8304" b="13228"/>
                    <a:stretch/>
                  </pic:blipFill>
                  <pic:spPr bwMode="auto">
                    <a:xfrm>
                      <a:off x="0" y="0"/>
                      <a:ext cx="5082540" cy="38119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0BE12E" w14:textId="3DAF3407" w:rsidR="00320476" w:rsidRDefault="00320476" w:rsidP="00320476">
      <w:pPr>
        <w:spacing w:line="276" w:lineRule="auto"/>
        <w:jc w:val="center"/>
        <w:rPr>
          <w:rFonts w:ascii="TeleNeo Office" w:hAnsi="TeleNeo Office"/>
          <w:i/>
          <w:iCs/>
          <w:sz w:val="24"/>
          <w:szCs w:val="24"/>
        </w:rPr>
      </w:pPr>
      <w:r w:rsidRPr="00320476">
        <w:rPr>
          <w:rFonts w:ascii="TeleNeo Office" w:hAnsi="TeleNeo Office"/>
          <w:i/>
          <w:iCs/>
          <w:sz w:val="24"/>
          <w:szCs w:val="24"/>
        </w:rPr>
        <w:t>Slika 1.:Obuhvat</w:t>
      </w:r>
      <w:r>
        <w:rPr>
          <w:rFonts w:ascii="TeleNeo Office" w:hAnsi="TeleNeo Office"/>
          <w:i/>
          <w:iCs/>
          <w:sz w:val="24"/>
          <w:szCs w:val="24"/>
        </w:rPr>
        <w:t xml:space="preserve"> općine </w:t>
      </w:r>
      <w:r w:rsidR="00A5322A" w:rsidRPr="00A5322A">
        <w:rPr>
          <w:rFonts w:ascii="TeleNeo Office" w:hAnsi="TeleNeo Office"/>
          <w:i/>
          <w:iCs/>
          <w:sz w:val="24"/>
          <w:szCs w:val="24"/>
        </w:rPr>
        <w:t xml:space="preserve">Sveti Lovreč </w:t>
      </w:r>
      <w:r>
        <w:rPr>
          <w:rFonts w:ascii="TeleNeo Office" w:hAnsi="TeleNeo Office"/>
          <w:i/>
          <w:iCs/>
          <w:sz w:val="24"/>
          <w:szCs w:val="24"/>
        </w:rPr>
        <w:t>i obuhvaćene „bijele“ adrese</w:t>
      </w:r>
    </w:p>
    <w:p w14:paraId="4E1D84D0" w14:textId="77777777" w:rsidR="00255EC2" w:rsidRDefault="00255EC2" w:rsidP="00320476">
      <w:pPr>
        <w:spacing w:line="276" w:lineRule="auto"/>
        <w:jc w:val="center"/>
        <w:rPr>
          <w:rFonts w:ascii="TeleNeo Office" w:hAnsi="TeleNeo Office"/>
          <w:i/>
          <w:iCs/>
          <w:sz w:val="24"/>
          <w:szCs w:val="24"/>
        </w:rPr>
      </w:pPr>
    </w:p>
    <w:p w14:paraId="51704643" w14:textId="0C647E50" w:rsidR="00DE617C" w:rsidRPr="00DE617C" w:rsidRDefault="00DE617C" w:rsidP="00EC4F5C">
      <w:pPr>
        <w:spacing w:line="276" w:lineRule="auto"/>
        <w:jc w:val="both"/>
        <w:rPr>
          <w:rFonts w:ascii="TeleNeo Office" w:hAnsi="TeleNeo Office"/>
          <w:b/>
          <w:bCs/>
          <w:sz w:val="24"/>
          <w:szCs w:val="24"/>
        </w:rPr>
      </w:pPr>
      <w:r w:rsidRPr="00DE617C">
        <w:rPr>
          <w:rFonts w:ascii="TeleNeo Office" w:hAnsi="TeleNeo Office"/>
          <w:b/>
          <w:bCs/>
          <w:sz w:val="24"/>
          <w:szCs w:val="24"/>
        </w:rPr>
        <w:t>ISKAZIVANJE INTERESA GRAĐANA</w:t>
      </w:r>
    </w:p>
    <w:p w14:paraId="26CAD6C4" w14:textId="5C703D95" w:rsidR="00D05E20" w:rsidRPr="00397DE2" w:rsidRDefault="00114196" w:rsidP="00114196">
      <w:pPr>
        <w:spacing w:line="276" w:lineRule="auto"/>
        <w:jc w:val="both"/>
        <w:rPr>
          <w:rFonts w:ascii="TeleNeo Office" w:hAnsi="TeleNeo Office"/>
          <w:sz w:val="24"/>
          <w:szCs w:val="24"/>
        </w:rPr>
      </w:pPr>
      <w:r w:rsidRPr="00114196">
        <w:rPr>
          <w:rFonts w:ascii="TeleNeo Office" w:hAnsi="TeleNeo Office"/>
          <w:sz w:val="24"/>
          <w:szCs w:val="24"/>
        </w:rPr>
        <w:t xml:space="preserve">Svi zainteresirani građani pozivaju se da iskažu </w:t>
      </w:r>
      <w:r w:rsidRPr="00397DE2">
        <w:rPr>
          <w:rFonts w:ascii="TeleNeo Office" w:hAnsi="TeleNeo Office"/>
          <w:sz w:val="24"/>
          <w:szCs w:val="24"/>
        </w:rPr>
        <w:t xml:space="preserve">interes za izgradnju privoda/priključka za njihov objekt i jave se </w:t>
      </w:r>
      <w:r w:rsidR="00103B4E" w:rsidRPr="00397DE2">
        <w:rPr>
          <w:rFonts w:ascii="TeleNeo Office" w:hAnsi="TeleNeo Office"/>
          <w:sz w:val="24"/>
          <w:szCs w:val="24"/>
        </w:rPr>
        <w:t xml:space="preserve">putem mail adrese </w:t>
      </w:r>
      <w:r w:rsidR="00103B4E" w:rsidRPr="00285998">
        <w:rPr>
          <w:rFonts w:ascii="TeleNeo Office" w:hAnsi="TeleNeo Office"/>
          <w:b/>
          <w:bCs/>
          <w:sz w:val="24"/>
          <w:szCs w:val="24"/>
          <w:u w:val="single"/>
        </w:rPr>
        <w:t>prikljucak-porec@t.ht.hr</w:t>
      </w:r>
      <w:r w:rsidRPr="00397DE2">
        <w:rPr>
          <w:rFonts w:ascii="TeleNeo Office" w:hAnsi="TeleNeo Office"/>
          <w:sz w:val="24"/>
          <w:szCs w:val="24"/>
        </w:rPr>
        <w:t>.</w:t>
      </w:r>
    </w:p>
    <w:p w14:paraId="547AD845" w14:textId="1199B8B2" w:rsidR="00D05E20" w:rsidRDefault="00D05E20" w:rsidP="002D3472">
      <w:pPr>
        <w:spacing w:line="276" w:lineRule="auto"/>
        <w:jc w:val="both"/>
        <w:rPr>
          <w:rFonts w:ascii="TeleNeo Office" w:hAnsi="TeleNeo Office"/>
          <w:sz w:val="24"/>
          <w:szCs w:val="24"/>
        </w:rPr>
      </w:pPr>
      <w:r>
        <w:rPr>
          <w:rFonts w:ascii="TeleNeo Office" w:hAnsi="TeleNeo Office"/>
          <w:sz w:val="24"/>
          <w:szCs w:val="24"/>
        </w:rPr>
        <w:t xml:space="preserve">Građanima koji iskažu interes izvesti će se privod do objekta potpuno </w:t>
      </w:r>
      <w:r w:rsidR="00327F16">
        <w:rPr>
          <w:rFonts w:ascii="TeleNeo Office" w:hAnsi="TeleNeo Office"/>
          <w:sz w:val="24"/>
          <w:szCs w:val="24"/>
        </w:rPr>
        <w:t>o</w:t>
      </w:r>
      <w:r>
        <w:rPr>
          <w:rFonts w:ascii="TeleNeo Office" w:hAnsi="TeleNeo Office"/>
          <w:sz w:val="24"/>
          <w:szCs w:val="24"/>
        </w:rPr>
        <w:t xml:space="preserve"> trošku </w:t>
      </w:r>
      <w:r w:rsidR="00DE617C">
        <w:rPr>
          <w:rFonts w:ascii="TeleNeo Office" w:hAnsi="TeleNeo Office"/>
          <w:sz w:val="24"/>
          <w:szCs w:val="24"/>
        </w:rPr>
        <w:t>i</w:t>
      </w:r>
      <w:r>
        <w:rPr>
          <w:rFonts w:ascii="TeleNeo Office" w:hAnsi="TeleNeo Office"/>
          <w:sz w:val="24"/>
          <w:szCs w:val="24"/>
        </w:rPr>
        <w:t xml:space="preserve">zvođača radova, kao pripremu za buduće priključenje na optički </w:t>
      </w:r>
      <w:r w:rsidR="00DE617C">
        <w:rPr>
          <w:rFonts w:ascii="TeleNeo Office" w:hAnsi="TeleNeo Office"/>
          <w:sz w:val="24"/>
          <w:szCs w:val="24"/>
        </w:rPr>
        <w:t>i</w:t>
      </w:r>
      <w:r>
        <w:rPr>
          <w:rFonts w:ascii="TeleNeo Office" w:hAnsi="TeleNeo Office"/>
          <w:sz w:val="24"/>
          <w:szCs w:val="24"/>
        </w:rPr>
        <w:t>nternet, te se time ne obvezuje korisnika na ugovaranje usluge, već će on to moći u bilo kojem trenutku te sa bilo</w:t>
      </w:r>
      <w:r w:rsidR="00DE617C">
        <w:rPr>
          <w:rFonts w:ascii="TeleNeo Office" w:hAnsi="TeleNeo Office"/>
          <w:sz w:val="24"/>
          <w:szCs w:val="24"/>
        </w:rPr>
        <w:t xml:space="preserve"> </w:t>
      </w:r>
      <w:r>
        <w:rPr>
          <w:rFonts w:ascii="TeleNeo Office" w:hAnsi="TeleNeo Office"/>
          <w:sz w:val="24"/>
          <w:szCs w:val="24"/>
        </w:rPr>
        <w:t xml:space="preserve">kojim operaterom koji nudi usluge optičkog interneta na tom području. </w:t>
      </w:r>
    </w:p>
    <w:p w14:paraId="3A556A32" w14:textId="5869CC49" w:rsidR="00D05E20" w:rsidRDefault="00D05E20" w:rsidP="002D3472">
      <w:pPr>
        <w:spacing w:line="276" w:lineRule="auto"/>
        <w:jc w:val="both"/>
        <w:rPr>
          <w:rFonts w:ascii="TeleNeo Office" w:hAnsi="TeleNeo Office"/>
          <w:sz w:val="24"/>
          <w:szCs w:val="24"/>
        </w:rPr>
      </w:pPr>
    </w:p>
    <w:p w14:paraId="551DBEC8" w14:textId="5C4A733A" w:rsidR="00496FEE" w:rsidRPr="002D3472" w:rsidRDefault="00496FEE" w:rsidP="002D3472">
      <w:pPr>
        <w:spacing w:line="276" w:lineRule="auto"/>
        <w:jc w:val="both"/>
        <w:rPr>
          <w:rFonts w:ascii="TeleNeo Office" w:hAnsi="TeleNeo Office"/>
          <w:sz w:val="24"/>
          <w:szCs w:val="24"/>
        </w:rPr>
      </w:pPr>
      <w:r w:rsidRPr="002D3472">
        <w:rPr>
          <w:rFonts w:ascii="TeleNeo Office" w:hAnsi="TeleNeo Office"/>
          <w:sz w:val="24"/>
          <w:szCs w:val="24"/>
        </w:rPr>
        <w:t>S poštovanjem</w:t>
      </w:r>
      <w:r w:rsidR="00170946">
        <w:rPr>
          <w:rFonts w:ascii="TeleNeo Office" w:hAnsi="TeleNeo Office"/>
          <w:sz w:val="24"/>
          <w:szCs w:val="24"/>
        </w:rPr>
        <w:t>,</w:t>
      </w:r>
    </w:p>
    <w:p w14:paraId="23AB744A" w14:textId="13CB13BA" w:rsidR="00B349BD" w:rsidRPr="002D3472" w:rsidRDefault="00496FEE" w:rsidP="002D3472">
      <w:pPr>
        <w:spacing w:line="276" w:lineRule="auto"/>
        <w:jc w:val="both"/>
        <w:rPr>
          <w:rFonts w:ascii="TeleNeo Office" w:hAnsi="TeleNeo Office"/>
          <w:sz w:val="24"/>
          <w:szCs w:val="24"/>
        </w:rPr>
      </w:pPr>
      <w:r w:rsidRPr="002D3472">
        <w:rPr>
          <w:rFonts w:ascii="TeleNeo Office" w:hAnsi="TeleNeo Office"/>
          <w:sz w:val="24"/>
          <w:szCs w:val="24"/>
        </w:rPr>
        <w:t xml:space="preserve">Hrvatski Telekom d.d. </w:t>
      </w:r>
    </w:p>
    <w:sectPr w:rsidR="00B349BD" w:rsidRPr="002D3472" w:rsidSect="00CC67CD">
      <w:headerReference w:type="default" r:id="rId9"/>
      <w:pgSz w:w="11906" w:h="16838"/>
      <w:pgMar w:top="993" w:right="1417" w:bottom="426" w:left="1417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56437D" w14:textId="77777777" w:rsidR="00620B8D" w:rsidRDefault="00620B8D" w:rsidP="00966EF9">
      <w:r>
        <w:separator/>
      </w:r>
    </w:p>
  </w:endnote>
  <w:endnote w:type="continuationSeparator" w:id="0">
    <w:p w14:paraId="45A5A782" w14:textId="77777777" w:rsidR="00620B8D" w:rsidRDefault="00620B8D" w:rsidP="00966E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ele-GroteskNor">
    <w:altName w:val="Tele"/>
    <w:charset w:val="EE"/>
    <w:family w:val="auto"/>
    <w:pitch w:val="variable"/>
    <w:sig w:usb0="A00002AF" w:usb1="1000205B" w:usb2="00000000" w:usb3="00000000" w:csb0="00000097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eleNeo Office">
    <w:altName w:val="Calibri"/>
    <w:charset w:val="00"/>
    <w:family w:val="swiss"/>
    <w:pitch w:val="variable"/>
    <w:sig w:usb0="00000287" w:usb1="00000001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055654" w14:textId="77777777" w:rsidR="00620B8D" w:rsidRDefault="00620B8D" w:rsidP="00966EF9">
      <w:r>
        <w:separator/>
      </w:r>
    </w:p>
  </w:footnote>
  <w:footnote w:type="continuationSeparator" w:id="0">
    <w:p w14:paraId="4F19A58F" w14:textId="77777777" w:rsidR="00620B8D" w:rsidRDefault="00620B8D" w:rsidP="00966EF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6735D7" w14:textId="508DE16E" w:rsidR="00966EF9" w:rsidRDefault="00966EF9" w:rsidP="00966EF9">
    <w:pPr>
      <w:pStyle w:val="Zaglavlje"/>
      <w:jc w:val="center"/>
    </w:pPr>
    <w:r>
      <w:rPr>
        <w:noProof/>
      </w:rPr>
      <w:drawing>
        <wp:inline distT="0" distB="0" distL="0" distR="0" wp14:anchorId="6E0E133F" wp14:editId="2D05535F">
          <wp:extent cx="3413760" cy="671830"/>
          <wp:effectExtent l="0" t="0" r="0" b="0"/>
          <wp:docPr id="15" name="Slik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Slika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13760" cy="6718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85502DA"/>
    <w:multiLevelType w:val="hybridMultilevel"/>
    <w:tmpl w:val="31EEC89A"/>
    <w:lvl w:ilvl="0" w:tplc="7AB0319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AA8EAB6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B921FC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1A8879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CF0DE80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B2C35C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0B63D4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8A859DC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E4CEE8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010CD6"/>
    <w:multiLevelType w:val="hybridMultilevel"/>
    <w:tmpl w:val="1B40C2D6"/>
    <w:lvl w:ilvl="0" w:tplc="2E3E4D04">
      <w:start w:val="20"/>
      <w:numFmt w:val="bullet"/>
      <w:lvlText w:val="-"/>
      <w:lvlJc w:val="left"/>
      <w:pPr>
        <w:ind w:left="720" w:hanging="360"/>
      </w:pPr>
      <w:rPr>
        <w:rFonts w:ascii="Tele-GroteskNor" w:eastAsia="Times New Roman" w:hAnsi="Tele-GroteskNor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08307341">
    <w:abstractNumId w:val="1"/>
  </w:num>
  <w:num w:numId="2" w16cid:durableId="3658327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57D6"/>
    <w:rsid w:val="0002253F"/>
    <w:rsid w:val="00061532"/>
    <w:rsid w:val="0006302E"/>
    <w:rsid w:val="0009211F"/>
    <w:rsid w:val="000B57D6"/>
    <w:rsid w:val="000C52B7"/>
    <w:rsid w:val="000D1896"/>
    <w:rsid w:val="000F3C23"/>
    <w:rsid w:val="00103B4E"/>
    <w:rsid w:val="0011150C"/>
    <w:rsid w:val="00112677"/>
    <w:rsid w:val="00114196"/>
    <w:rsid w:val="0011640C"/>
    <w:rsid w:val="00131C29"/>
    <w:rsid w:val="00170946"/>
    <w:rsid w:val="001C3720"/>
    <w:rsid w:val="00222CA0"/>
    <w:rsid w:val="00255EC2"/>
    <w:rsid w:val="0027461C"/>
    <w:rsid w:val="00285998"/>
    <w:rsid w:val="002B1BDA"/>
    <w:rsid w:val="002B57F9"/>
    <w:rsid w:val="002D3472"/>
    <w:rsid w:val="002E0F2C"/>
    <w:rsid w:val="002E1937"/>
    <w:rsid w:val="003100C2"/>
    <w:rsid w:val="00313FC3"/>
    <w:rsid w:val="00320476"/>
    <w:rsid w:val="00327F16"/>
    <w:rsid w:val="00337510"/>
    <w:rsid w:val="00337A0D"/>
    <w:rsid w:val="00387CC7"/>
    <w:rsid w:val="00397DE2"/>
    <w:rsid w:val="003D24FC"/>
    <w:rsid w:val="003F0969"/>
    <w:rsid w:val="003F1812"/>
    <w:rsid w:val="003F6301"/>
    <w:rsid w:val="00410611"/>
    <w:rsid w:val="00455157"/>
    <w:rsid w:val="00493B8C"/>
    <w:rsid w:val="00496FEE"/>
    <w:rsid w:val="004B663E"/>
    <w:rsid w:val="004F1C7F"/>
    <w:rsid w:val="0050758C"/>
    <w:rsid w:val="00512921"/>
    <w:rsid w:val="005133BC"/>
    <w:rsid w:val="00594199"/>
    <w:rsid w:val="005D4A6F"/>
    <w:rsid w:val="00620B8D"/>
    <w:rsid w:val="00655BF6"/>
    <w:rsid w:val="006A2EDA"/>
    <w:rsid w:val="006A6CAB"/>
    <w:rsid w:val="006D37B1"/>
    <w:rsid w:val="006E2ABB"/>
    <w:rsid w:val="00700139"/>
    <w:rsid w:val="007116F0"/>
    <w:rsid w:val="00711711"/>
    <w:rsid w:val="007236A3"/>
    <w:rsid w:val="007619E1"/>
    <w:rsid w:val="007C5D5E"/>
    <w:rsid w:val="007D1A46"/>
    <w:rsid w:val="008249E5"/>
    <w:rsid w:val="00854292"/>
    <w:rsid w:val="00894898"/>
    <w:rsid w:val="008952CB"/>
    <w:rsid w:val="008B3A46"/>
    <w:rsid w:val="008D2184"/>
    <w:rsid w:val="0090397D"/>
    <w:rsid w:val="009470BF"/>
    <w:rsid w:val="00966EF9"/>
    <w:rsid w:val="00985424"/>
    <w:rsid w:val="00A00BF8"/>
    <w:rsid w:val="00A342C0"/>
    <w:rsid w:val="00A416D3"/>
    <w:rsid w:val="00A5322A"/>
    <w:rsid w:val="00A97F3B"/>
    <w:rsid w:val="00AB21CE"/>
    <w:rsid w:val="00AB7748"/>
    <w:rsid w:val="00B349BD"/>
    <w:rsid w:val="00B64F6F"/>
    <w:rsid w:val="00BC0788"/>
    <w:rsid w:val="00BE012C"/>
    <w:rsid w:val="00BE707D"/>
    <w:rsid w:val="00BF44C1"/>
    <w:rsid w:val="00C57E9E"/>
    <w:rsid w:val="00C95574"/>
    <w:rsid w:val="00CB18CA"/>
    <w:rsid w:val="00CB2050"/>
    <w:rsid w:val="00CC67CD"/>
    <w:rsid w:val="00CD74C3"/>
    <w:rsid w:val="00D05E20"/>
    <w:rsid w:val="00D17EFA"/>
    <w:rsid w:val="00D3406F"/>
    <w:rsid w:val="00D34607"/>
    <w:rsid w:val="00D46EE4"/>
    <w:rsid w:val="00D5352E"/>
    <w:rsid w:val="00D945BF"/>
    <w:rsid w:val="00DE617C"/>
    <w:rsid w:val="00E2223C"/>
    <w:rsid w:val="00E9528E"/>
    <w:rsid w:val="00EC4F5C"/>
    <w:rsid w:val="00ED6277"/>
    <w:rsid w:val="00EF6BF8"/>
    <w:rsid w:val="00F171A0"/>
    <w:rsid w:val="00F24A52"/>
    <w:rsid w:val="00F45253"/>
    <w:rsid w:val="00F80AE2"/>
    <w:rsid w:val="00F908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D368E82"/>
  <w15:chartTrackingRefBased/>
  <w15:docId w15:val="{A76B0BAC-D880-4E85-8C8E-13CBD18392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B57D6"/>
    <w:pPr>
      <w:spacing w:after="0" w:line="240" w:lineRule="auto"/>
    </w:pPr>
    <w:rPr>
      <w:rFonts w:ascii="Calibri" w:hAnsi="Calibri" w:cs="Calibri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styleId="Hiperveza">
    <w:name w:val="Hyperlink"/>
    <w:basedOn w:val="Zadanifontodlomka"/>
    <w:uiPriority w:val="99"/>
    <w:unhideWhenUsed/>
    <w:rsid w:val="000B57D6"/>
    <w:rPr>
      <w:color w:val="0000FF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2B57F9"/>
    <w:rPr>
      <w:color w:val="605E5C"/>
      <w:shd w:val="clear" w:color="auto" w:fill="E1DFDD"/>
    </w:rPr>
  </w:style>
  <w:style w:type="paragraph" w:styleId="Odlomakpopisa">
    <w:name w:val="List Paragraph"/>
    <w:basedOn w:val="Normal"/>
    <w:uiPriority w:val="34"/>
    <w:qFormat/>
    <w:rsid w:val="008952CB"/>
    <w:pPr>
      <w:ind w:left="720"/>
      <w:contextualSpacing/>
    </w:pPr>
  </w:style>
  <w:style w:type="character" w:styleId="SlijeenaHiperveza">
    <w:name w:val="FollowedHyperlink"/>
    <w:basedOn w:val="Zadanifontodlomka"/>
    <w:uiPriority w:val="99"/>
    <w:semiHidden/>
    <w:unhideWhenUsed/>
    <w:rsid w:val="00894898"/>
    <w:rPr>
      <w:color w:val="800080" w:themeColor="followedHyperlink"/>
      <w:u w:val="single"/>
    </w:rPr>
  </w:style>
  <w:style w:type="paragraph" w:styleId="Zaglavlje">
    <w:name w:val="header"/>
    <w:basedOn w:val="Normal"/>
    <w:link w:val="ZaglavljeChar"/>
    <w:uiPriority w:val="99"/>
    <w:unhideWhenUsed/>
    <w:rsid w:val="00966EF9"/>
    <w:pPr>
      <w:tabs>
        <w:tab w:val="center" w:pos="4536"/>
        <w:tab w:val="right" w:pos="9072"/>
      </w:tabs>
    </w:pPr>
  </w:style>
  <w:style w:type="character" w:customStyle="1" w:styleId="ZaglavljeChar">
    <w:name w:val="Zaglavlje Char"/>
    <w:basedOn w:val="Zadanifontodlomka"/>
    <w:link w:val="Zaglavlje"/>
    <w:uiPriority w:val="99"/>
    <w:rsid w:val="00966EF9"/>
    <w:rPr>
      <w:rFonts w:ascii="Calibri" w:hAnsi="Calibri" w:cs="Calibri"/>
    </w:rPr>
  </w:style>
  <w:style w:type="paragraph" w:styleId="Podnoje">
    <w:name w:val="footer"/>
    <w:basedOn w:val="Normal"/>
    <w:link w:val="PodnojeChar"/>
    <w:uiPriority w:val="99"/>
    <w:unhideWhenUsed/>
    <w:rsid w:val="00966EF9"/>
    <w:pPr>
      <w:tabs>
        <w:tab w:val="center" w:pos="4536"/>
        <w:tab w:val="right" w:pos="9072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966EF9"/>
    <w:rPr>
      <w:rFonts w:ascii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187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481028">
          <w:marLeft w:val="446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362225">
          <w:marLeft w:val="446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18393">
          <w:marLeft w:val="446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8827E00-D05F-461B-AF16-8231D0F531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232</Words>
  <Characters>1326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Matija Patrčević</dc:creator>
  <cp:keywords/>
  <dc:description/>
  <cp:lastModifiedBy>Pročelnik</cp:lastModifiedBy>
  <cp:revision>2</cp:revision>
  <dcterms:created xsi:type="dcterms:W3CDTF">2023-03-09T07:05:00Z</dcterms:created>
  <dcterms:modified xsi:type="dcterms:W3CDTF">2023-03-09T07:05:00Z</dcterms:modified>
</cp:coreProperties>
</file>